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D178EDA" w:rsidP="568A369A" w:rsidRDefault="6D178EDA" w14:paraId="74B24DCB" w14:textId="6E3B5F6D">
      <w:pPr>
        <w:spacing w:line="320" w:lineRule="exact"/>
        <w:jc w:val="left"/>
        <w:rPr>
          <w:rFonts w:ascii="Antonio" w:hAnsi="Antonio" w:eastAsia="Antonio" w:cs="Antonio"/>
          <w:i w:val="0"/>
          <w:iCs w:val="0"/>
          <w:color w:val="000000" w:themeColor="text1" w:themeTint="FF" w:themeShade="FF"/>
          <w:sz w:val="28"/>
          <w:szCs w:val="28"/>
        </w:rPr>
      </w:pPr>
    </w:p>
    <w:p w:rsidR="2746597B" w:rsidP="57F1405E" w:rsidRDefault="2746597B" w14:paraId="5BE0C268" w14:textId="710CE87A">
      <w:pPr>
        <w:pStyle w:val="Normal"/>
        <w:suppressLineNumbers w:val="0"/>
        <w:bidi w:val="0"/>
        <w:spacing w:before="25" w:beforeAutospacing="off" w:after="0" w:afterAutospacing="off" w:line="259" w:lineRule="auto"/>
        <w:ind w:left="0" w:right="0"/>
        <w:jc w:val="left"/>
        <w:rPr>
          <w:rFonts w:ascii="Antonio" w:hAnsi="Antonio" w:eastAsia="Antonio" w:cs="Antonio"/>
          <w:noProof w:val="0"/>
          <w:sz w:val="48"/>
          <w:szCs w:val="48"/>
          <w:lang w:val="en-US"/>
        </w:rPr>
      </w:pPr>
      <w:r w:rsidRPr="57F1405E" w:rsidR="3063CD27">
        <w:rPr>
          <w:rFonts w:ascii="Antonio" w:hAnsi="Antonio" w:eastAsia="Antonio" w:cs="Antonio"/>
          <w:b w:val="0"/>
          <w:bCs w:val="0"/>
          <w:i w:val="0"/>
          <w:iCs w:val="0"/>
          <w:caps w:val="0"/>
          <w:smallCaps w:val="0"/>
          <w:noProof w:val="0"/>
          <w:color w:val="0044B5"/>
          <w:sz w:val="48"/>
          <w:szCs w:val="48"/>
          <w:lang w:val="en-US"/>
        </w:rPr>
        <w:t>D</w:t>
      </w:r>
      <w:r w:rsidRPr="57F1405E" w:rsidR="2746597B">
        <w:rPr>
          <w:rFonts w:ascii="Antonio" w:hAnsi="Antonio" w:eastAsia="Antonio" w:cs="Antonio"/>
          <w:b w:val="0"/>
          <w:bCs w:val="0"/>
          <w:i w:val="0"/>
          <w:iCs w:val="0"/>
          <w:caps w:val="0"/>
          <w:smallCaps w:val="0"/>
          <w:noProof w:val="0"/>
          <w:color w:val="0044B5"/>
          <w:sz w:val="48"/>
          <w:szCs w:val="48"/>
          <w:lang w:val="en-US"/>
        </w:rPr>
        <w:t xml:space="preserve">ODGE COUNTY COMMUNITY </w:t>
      </w:r>
      <w:r w:rsidRPr="57F1405E" w:rsidR="42C0FD9F">
        <w:rPr>
          <w:rFonts w:ascii="Antonio" w:hAnsi="Antonio" w:eastAsia="Antonio" w:cs="Antonio"/>
          <w:b w:val="0"/>
          <w:bCs w:val="0"/>
          <w:i w:val="0"/>
          <w:iCs w:val="0"/>
          <w:caps w:val="0"/>
          <w:smallCaps w:val="0"/>
          <w:noProof w:val="0"/>
          <w:color w:val="0044B5"/>
          <w:sz w:val="48"/>
          <w:szCs w:val="48"/>
          <w:lang w:val="en-US"/>
        </w:rPr>
        <w:t>RESILIENCY GRANTS 2025 RUBRIC</w:t>
      </w:r>
      <w:r w:rsidRPr="57F1405E" w:rsidR="42C0FD9F">
        <w:rPr>
          <w:rFonts w:ascii="Palanquin" w:hAnsi="Palanquin" w:eastAsia="Palanquin" w:cs="Palanquin"/>
          <w:b w:val="0"/>
          <w:bCs w:val="0"/>
          <w:i w:val="1"/>
          <w:iCs w:val="1"/>
          <w:caps w:val="0"/>
          <w:smallCaps w:val="0"/>
          <w:noProof w:val="0"/>
          <w:color w:val="000000" w:themeColor="text1" w:themeTint="FF" w:themeShade="FF"/>
          <w:sz w:val="22"/>
          <w:szCs w:val="22"/>
          <w:lang w:val="en-US"/>
        </w:rPr>
        <w:t xml:space="preserve"> </w:t>
      </w:r>
    </w:p>
    <w:p w:rsidR="568A369A" w:rsidP="568A369A" w:rsidRDefault="568A369A" w14:paraId="57129404" w14:textId="394CE370">
      <w:pPr>
        <w:pStyle w:val="Normal"/>
        <w:spacing w:line="320" w:lineRule="exact"/>
        <w:rPr>
          <w:rFonts w:ascii="Palanquin" w:hAnsi="Palanquin" w:eastAsia="Palanquin" w:cs="Palanquin"/>
          <w:b w:val="1"/>
          <w:bCs w:val="1"/>
          <w:i w:val="1"/>
          <w:iCs w:val="1"/>
          <w:caps w:val="0"/>
          <w:smallCaps w:val="0"/>
          <w:noProof w:val="0"/>
          <w:color w:val="000000" w:themeColor="text1" w:themeTint="FF" w:themeShade="FF"/>
          <w:sz w:val="24"/>
          <w:szCs w:val="24"/>
          <w:lang w:val="en-US"/>
        </w:rPr>
      </w:pPr>
    </w:p>
    <w:p w:rsidR="568A369A" w:rsidP="57F1405E" w:rsidRDefault="568A369A" w14:paraId="608657E1" w14:textId="5D1B29CF">
      <w:pPr>
        <w:spacing w:line="320" w:lineRule="exact"/>
        <w:rPr>
          <w:rFonts w:ascii="Palanquin" w:hAnsi="Palanquin" w:eastAsia="Palanquin" w:cs="Palanquin"/>
          <w:b w:val="1"/>
          <w:bCs w:val="1"/>
          <w:i w:val="0"/>
          <w:iCs w:val="0"/>
          <w:caps w:val="0"/>
          <w:smallCaps w:val="0"/>
          <w:noProof w:val="0"/>
          <w:color w:val="000000" w:themeColor="text1" w:themeTint="FF" w:themeShade="FF"/>
          <w:sz w:val="24"/>
          <w:szCs w:val="24"/>
          <w:lang w:val="en-US"/>
        </w:rPr>
      </w:pPr>
      <w:r w:rsidRPr="57F1405E" w:rsidR="4F7E8EFC">
        <w:rPr>
          <w:rFonts w:ascii="Palanquin" w:hAnsi="Palanquin" w:eastAsia="Palanquin" w:cs="Palanquin"/>
          <w:b w:val="1"/>
          <w:bCs w:val="1"/>
          <w:i w:val="0"/>
          <w:iCs w:val="0"/>
          <w:caps w:val="0"/>
          <w:smallCaps w:val="0"/>
          <w:noProof w:val="0"/>
          <w:color w:val="000000" w:themeColor="text1" w:themeTint="FF" w:themeShade="FF"/>
          <w:sz w:val="24"/>
          <w:szCs w:val="24"/>
          <w:lang w:val="en-US"/>
        </w:rPr>
        <w:t>How to use this rubric:</w:t>
      </w:r>
    </w:p>
    <w:p w:rsidR="568A369A" w:rsidP="57F1405E" w:rsidRDefault="568A369A" w14:paraId="653AB033" w14:textId="248A2F9B">
      <w:pPr>
        <w:spacing w:line="240" w:lineRule="auto"/>
        <w:rPr>
          <w:rFonts w:ascii="Palanquin" w:hAnsi="Palanquin" w:eastAsia="Palanquin" w:cs="Palanquin"/>
          <w:b w:val="0"/>
          <w:bCs w:val="0"/>
          <w:i w:val="0"/>
          <w:iCs w:val="0"/>
          <w:caps w:val="0"/>
          <w:smallCaps w:val="0"/>
          <w:noProof w:val="0"/>
          <w:color w:val="000000" w:themeColor="text1" w:themeTint="FF" w:themeShade="FF"/>
          <w:sz w:val="24"/>
          <w:szCs w:val="24"/>
          <w:lang w:val="en-US"/>
        </w:rPr>
      </w:pPr>
      <w:r w:rsidRPr="57F1405E" w:rsidR="4F7E8EFC">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United Way of Southeast Minnesota takes </w:t>
      </w:r>
      <w:r w:rsidRPr="57F1405E" w:rsidR="4F7E8EFC">
        <w:rPr>
          <w:rFonts w:ascii="Palanquin" w:hAnsi="Palanquin" w:eastAsia="Palanquin" w:cs="Palanquin"/>
          <w:b w:val="0"/>
          <w:bCs w:val="0"/>
          <w:i w:val="0"/>
          <w:iCs w:val="0"/>
          <w:caps w:val="0"/>
          <w:smallCaps w:val="0"/>
          <w:noProof w:val="0"/>
          <w:color w:val="000000" w:themeColor="text1" w:themeTint="FF" w:themeShade="FF"/>
          <w:sz w:val="24"/>
          <w:szCs w:val="24"/>
          <w:lang w:val="en-US"/>
        </w:rPr>
        <w:t>a holistic approach</w:t>
      </w:r>
      <w:r w:rsidRPr="57F1405E" w:rsidR="4F7E8EFC">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to reviewing grant applications. This means reviewers consider how the overall application meets the criteria across all categories described below. The rubric intentionally does not connect one question to one rubric element as we know that a single answer can cover multiple criteria categories.</w:t>
      </w:r>
    </w:p>
    <w:p w:rsidR="568A369A" w:rsidP="57F1405E" w:rsidRDefault="568A369A" w14:paraId="18A7E863" w14:textId="47AE9789">
      <w:pPr>
        <w:spacing w:line="240" w:lineRule="auto"/>
        <w:rPr>
          <w:rFonts w:ascii="Palanquin" w:hAnsi="Palanquin" w:eastAsia="Palanquin" w:cs="Palanquin"/>
          <w:b w:val="1"/>
          <w:bCs w:val="1"/>
          <w:i w:val="0"/>
          <w:iCs w:val="0"/>
          <w:caps w:val="0"/>
          <w:smallCaps w:val="0"/>
          <w:noProof w:val="0"/>
          <w:color w:val="000000" w:themeColor="text1" w:themeTint="FF" w:themeShade="FF"/>
          <w:sz w:val="24"/>
          <w:szCs w:val="24"/>
          <w:lang w:val="en-US"/>
        </w:rPr>
      </w:pPr>
      <w:r w:rsidRPr="57F1405E" w:rsidR="4F7E8EFC">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Our reviewers will score your applications across each of the 4 categories, noting what feels like exceptional alignment based on the </w:t>
      </w:r>
      <w:r w:rsidRPr="57F1405E" w:rsidR="4F7E8EFC">
        <w:rPr>
          <w:rFonts w:ascii="Palanquin" w:hAnsi="Palanquin" w:eastAsia="Palanquin" w:cs="Palanquin"/>
          <w:b w:val="0"/>
          <w:bCs w:val="0"/>
          <w:i w:val="0"/>
          <w:iCs w:val="0"/>
          <w:caps w:val="0"/>
          <w:smallCaps w:val="0"/>
          <w:strike w:val="0"/>
          <w:dstrike w:val="0"/>
          <w:noProof w:val="0"/>
          <w:color w:val="000000" w:themeColor="text1" w:themeTint="FF" w:themeShade="FF"/>
          <w:sz w:val="24"/>
          <w:szCs w:val="24"/>
          <w:u w:val="single"/>
          <w:lang w:val="en-US"/>
        </w:rPr>
        <w:t>(non-exhaustive)</w:t>
      </w:r>
      <w:r w:rsidRPr="57F1405E" w:rsidR="4F7E8EFC">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list of examples on the right. We </w:t>
      </w:r>
      <w:r w:rsidRPr="57F1405E" w:rsidR="4F7E8EFC">
        <w:rPr>
          <w:rFonts w:ascii="Palanquin" w:hAnsi="Palanquin" w:eastAsia="Palanquin" w:cs="Palanquin"/>
          <w:b w:val="0"/>
          <w:bCs w:val="0"/>
          <w:i w:val="0"/>
          <w:iCs w:val="0"/>
          <w:caps w:val="0"/>
          <w:smallCaps w:val="0"/>
          <w:noProof w:val="0"/>
          <w:color w:val="000000" w:themeColor="text1" w:themeTint="FF" w:themeShade="FF"/>
          <w:sz w:val="24"/>
          <w:szCs w:val="24"/>
          <w:lang w:val="en-US"/>
        </w:rPr>
        <w:t>provide</w:t>
      </w:r>
      <w:r w:rsidRPr="57F1405E" w:rsidR="4F7E8EFC">
        <w:rPr>
          <w:rFonts w:ascii="Palanquin" w:hAnsi="Palanquin" w:eastAsia="Palanquin" w:cs="Palanquin"/>
          <w:b w:val="0"/>
          <w:bCs w:val="0"/>
          <w:i w:val="0"/>
          <w:iCs w:val="0"/>
          <w:caps w:val="0"/>
          <w:smallCaps w:val="0"/>
          <w:noProof w:val="0"/>
          <w:color w:val="000000" w:themeColor="text1" w:themeTint="FF" w:themeShade="FF"/>
          <w:sz w:val="24"/>
          <w:szCs w:val="24"/>
          <w:lang w:val="en-US"/>
        </w:rPr>
        <w:t xml:space="preserve"> these examples to help you better understand what we are looking for when reviewing applications. </w:t>
      </w:r>
      <w:r w:rsidRPr="57F1405E" w:rsidR="4F7E8EFC">
        <w:rPr>
          <w:rFonts w:ascii="Palanquin" w:hAnsi="Palanquin" w:eastAsia="Palanquin" w:cs="Palanquin"/>
          <w:b w:val="1"/>
          <w:bCs w:val="1"/>
          <w:i w:val="0"/>
          <w:iCs w:val="0"/>
          <w:caps w:val="0"/>
          <w:smallCaps w:val="0"/>
          <w:noProof w:val="0"/>
          <w:color w:val="000000" w:themeColor="text1" w:themeTint="FF" w:themeShade="FF"/>
          <w:sz w:val="24"/>
          <w:szCs w:val="24"/>
          <w:lang w:val="en-US"/>
        </w:rPr>
        <w:t>This is not a list of requirements!</w:t>
      </w:r>
    </w:p>
    <w:p w:rsidR="568A369A" w:rsidP="57F1405E" w:rsidRDefault="568A369A" w14:paraId="0691D084" w14:textId="5B1A4B29">
      <w:pPr>
        <w:spacing w:line="240" w:lineRule="auto"/>
        <w:rPr>
          <w:rFonts w:ascii="Palanquin" w:hAnsi="Palanquin" w:eastAsia="Palanquin" w:cs="Palanquin"/>
          <w:b w:val="1"/>
          <w:bCs w:val="1"/>
          <w:i w:val="0"/>
          <w:iCs w:val="0"/>
          <w:caps w:val="0"/>
          <w:smallCaps w:val="0"/>
          <w:noProof w:val="0"/>
          <w:color w:val="000000" w:themeColor="text1" w:themeTint="FF" w:themeShade="FF"/>
          <w:sz w:val="24"/>
          <w:szCs w:val="24"/>
          <w:lang w:val="en-US"/>
        </w:rPr>
      </w:pPr>
    </w:p>
    <w:p w:rsidR="568A369A" w:rsidP="57F1405E" w:rsidRDefault="568A369A" w14:paraId="5ECB1713" w14:textId="58CA6A08">
      <w:pPr>
        <w:pStyle w:val="Normal"/>
        <w:spacing w:line="320" w:lineRule="exact"/>
        <w:rPr>
          <w:rFonts w:ascii="Palanquin" w:hAnsi="Palanquin" w:eastAsia="Palanquin" w:cs="Palanquin"/>
          <w:b w:val="1"/>
          <w:bCs w:val="1"/>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680"/>
        <w:gridCol w:w="4680"/>
      </w:tblGrid>
      <w:tr w:rsidR="57F1405E" w:rsidTr="57F1405E" w14:paraId="2568C3EF">
        <w:trPr>
          <w:trHeight w:val="300"/>
        </w:trPr>
        <w:tc>
          <w:tcPr>
            <w:tcW w:w="4680" w:type="dxa"/>
            <w:shd w:val="clear" w:color="auto" w:fill="A5C9EB"/>
            <w:tcMar>
              <w:left w:w="105" w:type="dxa"/>
              <w:right w:w="105" w:type="dxa"/>
            </w:tcMar>
            <w:vAlign w:val="top"/>
          </w:tcPr>
          <w:p w:rsidR="57F1405E" w:rsidP="57F1405E" w:rsidRDefault="57F1405E" w14:paraId="2B1AF3EA" w14:textId="57BCC294">
            <w:pPr>
              <w:pStyle w:val="ListParagraph"/>
              <w:numPr>
                <w:ilvl w:val="0"/>
                <w:numId w:val="6"/>
              </w:numPr>
              <w:jc w:val="both"/>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Local Impact</w:t>
            </w:r>
          </w:p>
        </w:tc>
        <w:tc>
          <w:tcPr>
            <w:tcW w:w="4680" w:type="dxa"/>
            <w:shd w:val="clear" w:color="auto" w:fill="A5C9EB"/>
            <w:tcMar>
              <w:left w:w="105" w:type="dxa"/>
              <w:right w:w="105" w:type="dxa"/>
            </w:tcMar>
            <w:vAlign w:val="top"/>
          </w:tcPr>
          <w:p w:rsidR="57F1405E" w:rsidP="57F1405E" w:rsidRDefault="57F1405E" w14:paraId="4A51C4BA" w14:textId="6C31BDE6">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Examples of local impact may look like...</w:t>
            </w:r>
          </w:p>
        </w:tc>
      </w:tr>
      <w:tr w:rsidR="57F1405E" w:rsidTr="57F1405E" w14:paraId="1B9F6F48">
        <w:trPr>
          <w:trHeight w:val="300"/>
        </w:trPr>
        <w:tc>
          <w:tcPr>
            <w:tcW w:w="4680" w:type="dxa"/>
            <w:tcMar>
              <w:left w:w="105" w:type="dxa"/>
              <w:right w:w="105" w:type="dxa"/>
            </w:tcMar>
            <w:vAlign w:val="top"/>
          </w:tcPr>
          <w:p w:rsidR="57F1405E" w:rsidP="57F1405E" w:rsidRDefault="57F1405E" w14:paraId="09D9824E" w14:textId="44A2C386">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1a. Application addresses a specific recommendation for Dodge County from the report</w:t>
            </w:r>
          </w:p>
        </w:tc>
        <w:tc>
          <w:tcPr>
            <w:tcW w:w="4680" w:type="dxa"/>
            <w:tcMar>
              <w:left w:w="105" w:type="dxa"/>
              <w:right w:w="105" w:type="dxa"/>
            </w:tcMar>
            <w:vAlign w:val="top"/>
          </w:tcPr>
          <w:p w:rsidR="57F1405E" w:rsidP="57F1405E" w:rsidRDefault="57F1405E" w14:paraId="1FF87661" w14:textId="68E03C21">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-Mini-grant application focuses on one focus area: transportation, healthcare, housing, or community navigation</w:t>
            </w:r>
          </w:p>
          <w:p w:rsidR="57F1405E" w:rsidP="57F1405E" w:rsidRDefault="57F1405E" w14:paraId="70B8828B" w14:textId="6A85B7C2">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-Mini-grant application focuses on one recommendation in the respective focus area</w:t>
            </w:r>
          </w:p>
        </w:tc>
      </w:tr>
      <w:tr w:rsidR="57F1405E" w:rsidTr="57F1405E" w14:paraId="72BB0598">
        <w:trPr>
          <w:trHeight w:val="300"/>
        </w:trPr>
        <w:tc>
          <w:tcPr>
            <w:tcW w:w="4680" w:type="dxa"/>
            <w:tcMar>
              <w:left w:w="105" w:type="dxa"/>
              <w:right w:w="105" w:type="dxa"/>
            </w:tcMar>
            <w:vAlign w:val="top"/>
          </w:tcPr>
          <w:p w:rsidR="57F1405E" w:rsidP="57F1405E" w:rsidRDefault="57F1405E" w14:paraId="711512C5" w14:textId="5C6ECF41">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 xml:space="preserve">1b. Program provides a free, low cost, and accessible service to Dodge County residents in the ALICE population (under 300% of FPL) </w:t>
            </w:r>
          </w:p>
        </w:tc>
        <w:tc>
          <w:tcPr>
            <w:tcW w:w="4680" w:type="dxa"/>
            <w:tcMar>
              <w:left w:w="105" w:type="dxa"/>
              <w:right w:w="105" w:type="dxa"/>
            </w:tcMar>
            <w:vAlign w:val="top"/>
          </w:tcPr>
          <w:p w:rsidR="57F1405E" w:rsidP="57F1405E" w:rsidRDefault="57F1405E" w14:paraId="5870BD86" w14:textId="2DF194FC">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-Applicant can demonstrate what portion of their population served lives in Dodge County</w:t>
            </w:r>
          </w:p>
          <w:p w:rsidR="57F1405E" w:rsidP="57F1405E" w:rsidRDefault="57F1405E" w14:paraId="64733156" w14:textId="05C30277">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-Applicant can demonstrate that the request will serve primarily Dodge County residents</w:t>
            </w:r>
          </w:p>
          <w:p w:rsidR="57F1405E" w:rsidP="57F1405E" w:rsidRDefault="57F1405E" w14:paraId="025A8207" w14:textId="6C737543">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-Program is offered for free or sliding-scale base</w:t>
            </w:r>
          </w:p>
          <w:p w:rsidR="57F1405E" w:rsidP="57F1405E" w:rsidRDefault="57F1405E" w14:paraId="5A0B7C9F" w14:textId="3EFB47D0">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-Programs offer accessibility accommodations like: interpreters, closed-captioning, hearing assisted devices, braille, transportation, delivery of goods, etc.</w:t>
            </w:r>
          </w:p>
        </w:tc>
      </w:tr>
      <w:tr w:rsidR="57F1405E" w:rsidTr="57F1405E" w14:paraId="05131ED9">
        <w:trPr>
          <w:trHeight w:val="300"/>
        </w:trPr>
        <w:tc>
          <w:tcPr>
            <w:tcW w:w="4680" w:type="dxa"/>
            <w:shd w:val="clear" w:color="auto" w:fill="A5C9EB"/>
            <w:tcMar>
              <w:left w:w="105" w:type="dxa"/>
              <w:right w:w="105" w:type="dxa"/>
            </w:tcMar>
            <w:vAlign w:val="top"/>
          </w:tcPr>
          <w:p w:rsidR="57F1405E" w:rsidP="57F1405E" w:rsidRDefault="57F1405E" w14:paraId="2838D3AF" w14:textId="4463074B">
            <w:pPr>
              <w:pStyle w:val="ListParagraph"/>
              <w:numPr>
                <w:ilvl w:val="0"/>
                <w:numId w:val="6"/>
              </w:num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Evaluation and continuous improvement</w:t>
            </w:r>
          </w:p>
        </w:tc>
        <w:tc>
          <w:tcPr>
            <w:tcW w:w="4680" w:type="dxa"/>
            <w:shd w:val="clear" w:color="auto" w:fill="A5C9EB"/>
            <w:tcMar>
              <w:left w:w="105" w:type="dxa"/>
              <w:right w:w="105" w:type="dxa"/>
            </w:tcMar>
            <w:vAlign w:val="top"/>
          </w:tcPr>
          <w:p w:rsidR="57F1405E" w:rsidP="57F1405E" w:rsidRDefault="57F1405E" w14:paraId="2C46D020" w14:textId="007A95C4">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 xml:space="preserve">Examples of evaluation and continuous improvement may look like... </w:t>
            </w:r>
          </w:p>
        </w:tc>
      </w:tr>
      <w:tr w:rsidR="57F1405E" w:rsidTr="57F1405E" w14:paraId="06FE90E3">
        <w:trPr>
          <w:trHeight w:val="300"/>
        </w:trPr>
        <w:tc>
          <w:tcPr>
            <w:tcW w:w="4680" w:type="dxa"/>
            <w:tcMar>
              <w:left w:w="105" w:type="dxa"/>
              <w:right w:w="105" w:type="dxa"/>
            </w:tcMar>
            <w:vAlign w:val="top"/>
          </w:tcPr>
          <w:p w:rsidR="57F1405E" w:rsidP="57F1405E" w:rsidRDefault="57F1405E" w14:paraId="332A1132" w14:textId="5498EED4">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2a. Program has clear framework to measure impact and can tell that story</w:t>
            </w:r>
          </w:p>
        </w:tc>
        <w:tc>
          <w:tcPr>
            <w:tcW w:w="4680" w:type="dxa"/>
            <w:tcMar>
              <w:left w:w="105" w:type="dxa"/>
              <w:right w:w="105" w:type="dxa"/>
            </w:tcMar>
            <w:vAlign w:val="top"/>
          </w:tcPr>
          <w:p w:rsidR="57F1405E" w:rsidP="57F1405E" w:rsidRDefault="57F1405E" w14:paraId="5EEFC963" w14:textId="400270B0">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-Applicant can explain what outcomes their program is aiming to achieve for those served and how many people achieved those outcomes</w:t>
            </w:r>
          </w:p>
          <w:p w:rsidR="57F1405E" w:rsidP="57F1405E" w:rsidRDefault="57F1405E" w14:paraId="294A7A27" w14:textId="15F6D23F">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-Program asks for feedback on how to better serve their clients</w:t>
            </w:r>
          </w:p>
          <w:p w:rsidR="57F1405E" w:rsidP="57F1405E" w:rsidRDefault="57F1405E" w14:paraId="6A77F570" w14:textId="73953084">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-Program implements changes based on feedback</w:t>
            </w:r>
          </w:p>
        </w:tc>
      </w:tr>
      <w:tr w:rsidR="57F1405E" w:rsidTr="57F1405E" w14:paraId="24CA3E4F">
        <w:trPr>
          <w:trHeight w:val="300"/>
        </w:trPr>
        <w:tc>
          <w:tcPr>
            <w:tcW w:w="4680" w:type="dxa"/>
            <w:shd w:val="clear" w:color="auto" w:fill="A5C9EB"/>
            <w:tcMar>
              <w:left w:w="105" w:type="dxa"/>
              <w:right w:w="105" w:type="dxa"/>
            </w:tcMar>
            <w:vAlign w:val="top"/>
          </w:tcPr>
          <w:p w:rsidR="57F1405E" w:rsidP="57F1405E" w:rsidRDefault="57F1405E" w14:paraId="19D3500D" w14:textId="19B23C28">
            <w:pPr>
              <w:pStyle w:val="ListParagraph"/>
              <w:numPr>
                <w:ilvl w:val="0"/>
                <w:numId w:val="6"/>
              </w:num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Local Leadership</w:t>
            </w:r>
          </w:p>
        </w:tc>
        <w:tc>
          <w:tcPr>
            <w:tcW w:w="4680" w:type="dxa"/>
            <w:shd w:val="clear" w:color="auto" w:fill="A5C9EB"/>
            <w:tcMar>
              <w:left w:w="105" w:type="dxa"/>
              <w:right w:w="105" w:type="dxa"/>
            </w:tcMar>
            <w:vAlign w:val="top"/>
          </w:tcPr>
          <w:p w:rsidR="57F1405E" w:rsidP="57F1405E" w:rsidRDefault="57F1405E" w14:paraId="5DD94E44" w14:textId="1496039C">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Examples of what local leadership may look like...</w:t>
            </w:r>
          </w:p>
        </w:tc>
      </w:tr>
      <w:tr w:rsidR="57F1405E" w:rsidTr="57F1405E" w14:paraId="1280F662">
        <w:trPr>
          <w:trHeight w:val="300"/>
        </w:trPr>
        <w:tc>
          <w:tcPr>
            <w:tcW w:w="4680" w:type="dxa"/>
            <w:tcMar>
              <w:left w:w="105" w:type="dxa"/>
              <w:right w:w="105" w:type="dxa"/>
            </w:tcMar>
            <w:vAlign w:val="top"/>
          </w:tcPr>
          <w:p w:rsidR="57F1405E" w:rsidP="57F1405E" w:rsidRDefault="57F1405E" w14:paraId="5562147D" w14:textId="42E65FA9">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3a. Program has local presence and leadership</w:t>
            </w:r>
          </w:p>
        </w:tc>
        <w:tc>
          <w:tcPr>
            <w:tcW w:w="4680" w:type="dxa"/>
            <w:tcMar>
              <w:left w:w="105" w:type="dxa"/>
              <w:right w:w="105" w:type="dxa"/>
            </w:tcMar>
            <w:vAlign w:val="top"/>
          </w:tcPr>
          <w:p w:rsidR="57F1405E" w:rsidP="57F1405E" w:rsidRDefault="57F1405E" w14:paraId="3B905C5E" w14:textId="71DF9D0F">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-Program has a local office or consistent staff presence locally</w:t>
            </w:r>
          </w:p>
          <w:p w:rsidR="57F1405E" w:rsidP="57F1405E" w:rsidRDefault="57F1405E" w14:paraId="5468AD46" w14:textId="27FBC05C">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-Organization has committee made up of Dodge County residents</w:t>
            </w:r>
          </w:p>
          <w:p w:rsidR="57F1405E" w:rsidP="57F1405E" w:rsidRDefault="57F1405E" w14:paraId="64FE6B1A" w14:textId="5F2186FA">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-Organization has equitable representation across service area</w:t>
            </w:r>
          </w:p>
        </w:tc>
      </w:tr>
      <w:tr w:rsidR="57F1405E" w:rsidTr="57F1405E" w14:paraId="246BB624">
        <w:trPr>
          <w:trHeight w:val="300"/>
        </w:trPr>
        <w:tc>
          <w:tcPr>
            <w:tcW w:w="4680" w:type="dxa"/>
            <w:shd w:val="clear" w:color="auto" w:fill="A5C9EB"/>
            <w:tcMar>
              <w:left w:w="105" w:type="dxa"/>
              <w:right w:w="105" w:type="dxa"/>
            </w:tcMar>
            <w:vAlign w:val="top"/>
          </w:tcPr>
          <w:p w:rsidR="57F1405E" w:rsidP="57F1405E" w:rsidRDefault="57F1405E" w14:paraId="5DAF4A9B" w14:textId="3B03FA32">
            <w:pPr>
              <w:pStyle w:val="ListParagraph"/>
              <w:numPr>
                <w:ilvl w:val="0"/>
                <w:numId w:val="6"/>
              </w:numPr>
              <w:spacing w:before="0" w:beforeAutospacing="off" w:after="0" w:afterAutospacing="off" w:line="240" w:lineRule="auto"/>
              <w:ind w:right="0"/>
              <w:jc w:val="left"/>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Resource planning</w:t>
            </w:r>
          </w:p>
        </w:tc>
        <w:tc>
          <w:tcPr>
            <w:tcW w:w="4680" w:type="dxa"/>
            <w:shd w:val="clear" w:color="auto" w:fill="A5C9EB"/>
            <w:tcMar>
              <w:left w:w="105" w:type="dxa"/>
              <w:right w:w="105" w:type="dxa"/>
            </w:tcMar>
            <w:vAlign w:val="top"/>
          </w:tcPr>
          <w:p w:rsidR="57F1405E" w:rsidP="57F1405E" w:rsidRDefault="57F1405E" w14:paraId="325183F9" w14:textId="7DF59665">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 xml:space="preserve">Examples of resource planning may look like... </w:t>
            </w:r>
          </w:p>
        </w:tc>
      </w:tr>
      <w:tr w:rsidR="57F1405E" w:rsidTr="57F1405E" w14:paraId="01E14F6F">
        <w:trPr>
          <w:trHeight w:val="300"/>
        </w:trPr>
        <w:tc>
          <w:tcPr>
            <w:tcW w:w="4680" w:type="dxa"/>
            <w:tcMar>
              <w:left w:w="105" w:type="dxa"/>
              <w:right w:w="105" w:type="dxa"/>
            </w:tcMar>
            <w:vAlign w:val="top"/>
          </w:tcPr>
          <w:p w:rsidR="57F1405E" w:rsidP="57F1405E" w:rsidRDefault="57F1405E" w14:paraId="588743AA" w14:textId="7589180F">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4a. Applicant clearly explains how this mini-grant will be used to support their work</w:t>
            </w:r>
          </w:p>
        </w:tc>
        <w:tc>
          <w:tcPr>
            <w:tcW w:w="4680" w:type="dxa"/>
            <w:tcMar>
              <w:left w:w="105" w:type="dxa"/>
              <w:right w:w="105" w:type="dxa"/>
            </w:tcMar>
            <w:vAlign w:val="top"/>
          </w:tcPr>
          <w:p w:rsidR="57F1405E" w:rsidP="57F1405E" w:rsidRDefault="57F1405E" w14:paraId="0907D0C6" w14:textId="2EFAAB1F">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-Applicant can describe if this mini-grant will expand or maintain current service levels</w:t>
            </w:r>
          </w:p>
          <w:p w:rsidR="57F1405E" w:rsidP="57F1405E" w:rsidRDefault="57F1405E" w14:paraId="47058867" w14:textId="20D49849">
            <w:pPr>
              <w:rPr>
                <w:rFonts w:ascii="Palanquin" w:hAnsi="Palanquin" w:eastAsia="Palanquin" w:cs="Palanquin"/>
                <w:b w:val="0"/>
                <w:bCs w:val="0"/>
                <w:i w:val="0"/>
                <w:iCs w:val="0"/>
                <w:caps w:val="0"/>
                <w:smallCaps w:val="0"/>
                <w:color w:val="000000" w:themeColor="text1" w:themeTint="FF" w:themeShade="FF"/>
                <w:sz w:val="22"/>
                <w:szCs w:val="22"/>
              </w:rPr>
            </w:pPr>
            <w:r w:rsidRPr="57F1405E" w:rsidR="57F1405E">
              <w:rPr>
                <w:rFonts w:ascii="Palanquin" w:hAnsi="Palanquin" w:eastAsia="Palanquin" w:cs="Palanquin"/>
                <w:b w:val="0"/>
                <w:bCs w:val="0"/>
                <w:i w:val="0"/>
                <w:iCs w:val="0"/>
                <w:caps w:val="0"/>
                <w:smallCaps w:val="0"/>
                <w:color w:val="000000" w:themeColor="text1" w:themeTint="FF" w:themeShade="FF"/>
                <w:sz w:val="22"/>
                <w:szCs w:val="22"/>
                <w:lang w:val="en-US"/>
              </w:rPr>
              <w:t>-Applicant can describe generally what expenses this mini-grant will cover</w:t>
            </w:r>
          </w:p>
        </w:tc>
      </w:tr>
    </w:tbl>
    <w:p w:rsidR="57F1405E" w:rsidP="57F1405E" w:rsidRDefault="57F1405E" w14:paraId="6AB87685" w14:textId="1AF2F71C">
      <w:pPr>
        <w:pStyle w:val="BodyText"/>
        <w:spacing w:line="320" w:lineRule="exact"/>
      </w:pPr>
    </w:p>
    <w:sectPr w:rsidRPr="007327D3" w:rsidR="002A3FEE" w:rsidSect="007327D3">
      <w:headerReference w:type="default" r:id="rId10"/>
      <w:footerReference w:type="default" r:id="rId11"/>
      <w:type w:val="continuous"/>
      <w:pgSz w:w="12240" w:h="15840" w:orient="portrait"/>
      <w:pgMar w:top="0" w:right="1320" w:bottom="0" w:left="1340" w:header="720" w:footer="288"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4635" w:rsidP="00F20AF7" w:rsidRDefault="00FD4635" w14:paraId="49455201" w14:textId="77777777">
      <w:r>
        <w:separator/>
      </w:r>
    </w:p>
  </w:endnote>
  <w:endnote w:type="continuationSeparator" w:id="0">
    <w:p w:rsidR="00FD4635" w:rsidP="00F20AF7" w:rsidRDefault="00FD4635" w14:paraId="401B3A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nquin">
    <w:panose1 w:val="020B0004020203020204"/>
    <w:charset w:val="4D"/>
    <w:family w:val="swiss"/>
    <w:pitch w:val="variable"/>
    <w:sig w:usb0="800080AF" w:usb1="5000204A" w:usb2="00000000" w:usb3="00000000" w:csb0="00000093" w:csb1="00000000"/>
  </w:font>
  <w:font w:name="Antonio">
    <w:panose1 w:val="00000000000000000000"/>
    <w:charset w:val="4D"/>
    <w:family w:val="auto"/>
    <w:pitch w:val="variable"/>
    <w:sig w:usb0="A00000EF" w:usb1="0000204B" w:usb2="00000000" w:usb3="00000000" w:csb0="00000093" w:csb1="00000000"/>
  </w:font>
  <w:font w:name="Cambria">
    <w:panose1 w:val="02040503050406030204"/>
    <w:charset w:val="00"/>
    <w:family w:val="roman"/>
    <w:pitch w:val="variable"/>
    <w:sig w:usb0="E00006FF" w:usb1="420024FF" w:usb2="02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p w:rsidRPr="00F20AF7" w:rsidR="00F20AF7" w:rsidP="476E40F8" w:rsidRDefault="007F2432" w14:paraId="539BA704" w14:textId="48E0678A">
    <w:pPr>
      <w:tabs>
        <w:tab w:val="left" w:pos="5047"/>
        <w:tab w:val="left" w:pos="6770"/>
      </w:tabs>
      <w:spacing w:before="134"/>
      <w:jc w:val="center"/>
      <w:rPr>
        <w:color w:val="808080" w:themeColor="background1" w:themeShade="80"/>
        <w:sz w:val="16"/>
        <w:szCs w:val="16"/>
      </w:rPr>
    </w:pPr>
    <w:r>
      <w:rPr>
        <w:noProof/>
        <w:color w:val="FFFFFF" w:themeColor="background1"/>
        <w:sz w:val="16"/>
      </w:rPr>
      <mc:AlternateContent>
        <mc:Choice Requires="wps">
          <w:drawing>
            <wp:anchor distT="0" distB="0" distL="114300" distR="114300" simplePos="0" relativeHeight="251657728" behindDoc="0" locked="0" layoutInCell="1" allowOverlap="1" wp14:anchorId="41EBF6C6" wp14:editId="5ADEC82F">
              <wp:simplePos x="0" y="0"/>
              <wp:positionH relativeFrom="column">
                <wp:posOffset>4503420</wp:posOffset>
              </wp:positionH>
              <wp:positionV relativeFrom="paragraph">
                <wp:posOffset>149225</wp:posOffset>
              </wp:positionV>
              <wp:extent cx="0" cy="90345"/>
              <wp:effectExtent l="0" t="0" r="12700" b="11430"/>
              <wp:wrapNone/>
              <wp:docPr id="1855005688"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354.6pt,11.75pt" to="354.6pt,18.85pt" w14:anchorId="6ACF4E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"/>
          </w:pict>
        </mc:Fallback>
      </mc:AlternateContent>
    </w:r>
    <w:r>
      <w:rPr>
        <w:noProof/>
        <w:color w:val="FFFFFF" w:themeColor="background1"/>
        <w:sz w:val="16"/>
      </w:rPr>
      <mc:AlternateContent>
        <mc:Choice Requires="wps">
          <w:drawing>
            <wp:anchor distT="0" distB="0" distL="114300" distR="114300" simplePos="0" relativeHeight="251655680" behindDoc="0" locked="0" layoutInCell="1" allowOverlap="1" wp14:anchorId="7D86D2D3" wp14:editId="13A1B545">
              <wp:simplePos x="0" y="0"/>
              <wp:positionH relativeFrom="column">
                <wp:posOffset>3190240</wp:posOffset>
              </wp:positionH>
              <wp:positionV relativeFrom="paragraph">
                <wp:posOffset>141605</wp:posOffset>
              </wp:positionV>
              <wp:extent cx="0" cy="90345"/>
              <wp:effectExtent l="0" t="0" r="12700" b="11430"/>
              <wp:wrapNone/>
              <wp:docPr id="1507167350" name="Straight Connector 3"/>
              <wp:cNvGraphicFramePr/>
              <a:graphic xmlns:a="http://schemas.openxmlformats.org/drawingml/2006/main">
                <a:graphicData uri="http://schemas.microsoft.com/office/word/2010/wordprocessingShape">
                  <wps:wsp>
                    <wps:cNvCnPr/>
                    <wps:spPr>
                      <a:xfrm>
                        <a:off x="0" y="0"/>
                        <a:ext cx="0" cy="90345"/>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style="position:absolute;z-index:251655680;visibility:visible;mso-wrap-style:square;mso-wrap-distance-left:9pt;mso-wrap-distance-top:0;mso-wrap-distance-right:9pt;mso-wrap-distance-bottom:0;mso-position-horizontal:absolute;mso-position-horizontal-relative:text;mso-position-vertical:absolute;mso-position-vertical-relative:text" o:spid="_x0000_s1026" strokecolor="#7f7f7f [1612]" from="251.2pt,11.15pt" to="251.2pt,18.25pt" w14:anchorId="231CE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"/>
          </w:pict>
        </mc:Fallback>
      </mc:AlternateContent>
    </w:r>
    <w:r w:rsidR="00F20AF7">
      <w:rPr>
        <w:noProof/>
        <w:color w:val="FFFFFF" w:themeColor="background1"/>
        <w:sz w:val="16"/>
      </w:rPr>
      <mc:AlternateContent>
        <mc:Choice Requires="wps">
          <w:drawing>
            <wp:anchor distT="0" distB="0" distL="114300" distR="114300" simplePos="0" relativeHeight="251661824" behindDoc="0" locked="0" layoutInCell="1" allowOverlap="1" wp14:anchorId="3A3F3F6D" wp14:editId="4AA27820">
              <wp:simplePos x="0" y="0"/>
              <wp:positionH relativeFrom="margin">
                <wp:align>center</wp:align>
              </wp:positionH>
              <wp:positionV relativeFrom="paragraph">
                <wp:posOffset>5715</wp:posOffset>
              </wp:positionV>
              <wp:extent cx="6400800" cy="0"/>
              <wp:effectExtent l="0" t="0" r="12700" b="12700"/>
              <wp:wrapNone/>
              <wp:docPr id="2076475733" name="Straight Connector 4"/>
              <wp:cNvGraphicFramePr/>
              <a:graphic xmlns:a="http://schemas.openxmlformats.org/drawingml/2006/main">
                <a:graphicData uri="http://schemas.microsoft.com/office/word/2010/wordprocessingShape">
                  <wps:wsp>
                    <wps:cNvCnPr/>
                    <wps:spPr>
                      <a:xfrm>
                        <a:off x="0" y="0"/>
                        <a:ext cx="64008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spid="_x0000_s1026" strokecolor="#7f7f7f [1612]" from="0,.45pt" to="7in,.45pt" w14:anchorId="0918F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">
              <w10:wrap anchorx="margin"/>
            </v:line>
          </w:pict>
        </mc:Fallback>
      </mc:AlternateContent>
    </w:r>
    <w:r w:rsidRPr="476E40F8" w:rsidR="476E40F8">
      <w:rPr>
        <w:color w:val="808080" w:themeColor="background1" w:themeShade="80"/>
        <w:sz w:val="16"/>
        <w:szCs w:val="16"/>
      </w:rPr>
      <w:t xml:space="preserve">903 West Center St, Suite 100, Rochester, MN 55902  </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507</w:t>
    </w:r>
    <w:r w:rsidRPr="476E40F8" w:rsidR="476E40F8">
      <w:rPr>
        <w:color w:val="808080" w:themeColor="background1" w:themeShade="80"/>
        <w:sz w:val="16"/>
        <w:szCs w:val="16"/>
      </w:rPr>
      <w:t xml:space="preserve">) </w:t>
    </w:r>
    <w:r w:rsidRPr="476E40F8" w:rsidR="476E40F8">
      <w:rPr>
        <w:color w:val="808080" w:themeColor="background1" w:themeShade="80"/>
        <w:sz w:val="16"/>
        <w:szCs w:val="16"/>
      </w:rPr>
      <w:t>287</w:t>
    </w:r>
    <w:r w:rsidRPr="476E40F8" w:rsidR="476E40F8">
      <w:rPr>
        <w:color w:val="808080" w:themeColor="background1" w:themeShade="80"/>
        <w:sz w:val="16"/>
        <w:szCs w:val="16"/>
      </w:rPr>
      <w:t>-</w:t>
    </w:r>
    <w:r w:rsidRPr="476E40F8" w:rsidR="476E40F8">
      <w:rPr>
        <w:color w:val="808080" w:themeColor="background1" w:themeShade="80"/>
        <w:sz w:val="16"/>
        <w:szCs w:val="16"/>
      </w:rPr>
      <w:t>2000</w:t>
    </w:r>
    <w:r w:rsidRPr="476E40F8" w:rsidR="476E40F8">
      <w:rPr>
        <w:color w:val="808080" w:themeColor="background1" w:themeShade="80"/>
        <w:sz w:val="16"/>
        <w:szCs w:val="16"/>
      </w:rPr>
      <w:t xml:space="preserve">                            </w:t>
    </w:r>
    <w:r w:rsidRPr="476E40F8" w:rsidR="476E40F8">
      <w:rPr>
        <w:color w:val="808080" w:themeColor="background1" w:themeShade="80"/>
        <w:spacing w:val="-2"/>
        <w:sz w:val="16"/>
        <w:szCs w:val="16"/>
      </w:rPr>
      <w:t>uwsemn</w:t>
    </w:r>
    <w:r w:rsidRPr="476E40F8" w:rsidR="476E40F8">
      <w:rPr>
        <w:color w:val="808080" w:themeColor="background1" w:themeShade="80"/>
        <w:spacing w:val="-2"/>
        <w:sz w:val="16"/>
        <w:szCs w:val="16"/>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4635" w:rsidP="00F20AF7" w:rsidRDefault="00FD4635" w14:paraId="10043487" w14:textId="77777777">
      <w:r>
        <w:separator/>
      </w:r>
    </w:p>
  </w:footnote>
  <w:footnote w:type="continuationSeparator" w:id="0">
    <w:p w:rsidR="00FD4635" w:rsidP="00F20AF7" w:rsidRDefault="00FD4635" w14:paraId="5252D3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BB2156" w:rsidP="28BF8171" w:rsidRDefault="00BB2156" w14:paraId="1EFD6954" w14:textId="1EEE9CE6">
    <w:pPr>
      <w:jc w:val="right"/>
    </w:pPr>
    <w:r w:rsidR="4245AF02">
      <w:drawing>
        <wp:inline wp14:editId="5D1C5A9D" wp14:anchorId="25CF0C15">
          <wp:extent cx="1751857" cy="493443"/>
          <wp:effectExtent l="0" t="0" r="0" b="0"/>
          <wp:docPr id="1465511089" name="" title=""/>
          <wp:cNvGraphicFramePr>
            <a:graphicFrameLocks noChangeAspect="1"/>
          </wp:cNvGraphicFramePr>
          <a:graphic>
            <a:graphicData uri="http://schemas.openxmlformats.org/drawingml/2006/picture">
              <pic:pic>
                <pic:nvPicPr>
                  <pic:cNvPr id="0" name=""/>
                  <pic:cNvPicPr/>
                </pic:nvPicPr>
                <pic:blipFill>
                  <a:blip r:embed="R238589ebea6e42b9">
                    <a:extLst>
                      <a:ext xmlns:a="http://schemas.openxmlformats.org/drawingml/2006/main" uri="{28A0092B-C50C-407E-A947-70E740481C1C}">
                        <a14:useLocalDpi val="0"/>
                      </a:ext>
                    </a:extLst>
                  </a:blip>
                  <a:stretch>
                    <a:fillRect/>
                  </a:stretch>
                </pic:blipFill>
                <pic:spPr>
                  <a:xfrm>
                    <a:off x="0" y="0"/>
                    <a:ext cx="1751857" cy="493443"/>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A31xzgb0pSO2Fg" int2:id="LHJcP4B4">
      <int2:state int2:type="spell" int2:value="Rejected"/>
    </int2:textHash>
    <int2:bookmark int2:bookmarkName="_Int_yaCHX1ui" int2:invalidationBookmarkName="" int2:hashCode="IYiHJprVlG2dxT" int2:id="6Zg8JuBc">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5d68454c"/>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Palanquin" w:hAnsi="Palanqui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ea9e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dc3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9b46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afbe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d76bf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EE"/>
    <w:rsid w:val="000356E6"/>
    <w:rsid w:val="00096E29"/>
    <w:rsid w:val="000F7384"/>
    <w:rsid w:val="00276175"/>
    <w:rsid w:val="002A3FEE"/>
    <w:rsid w:val="003072EA"/>
    <w:rsid w:val="0038E598"/>
    <w:rsid w:val="0058307B"/>
    <w:rsid w:val="005E75B2"/>
    <w:rsid w:val="0063EBAF"/>
    <w:rsid w:val="00685E10"/>
    <w:rsid w:val="0071057B"/>
    <w:rsid w:val="007327D3"/>
    <w:rsid w:val="0079174B"/>
    <w:rsid w:val="007A7C80"/>
    <w:rsid w:val="007F2432"/>
    <w:rsid w:val="00835DBC"/>
    <w:rsid w:val="00884CFC"/>
    <w:rsid w:val="008A545D"/>
    <w:rsid w:val="008C7AC0"/>
    <w:rsid w:val="009B7075"/>
    <w:rsid w:val="00A40301"/>
    <w:rsid w:val="00A96557"/>
    <w:rsid w:val="00AD0829"/>
    <w:rsid w:val="00B07848"/>
    <w:rsid w:val="00BB2156"/>
    <w:rsid w:val="00C94621"/>
    <w:rsid w:val="00CB3186"/>
    <w:rsid w:val="00D169F5"/>
    <w:rsid w:val="00DB3865"/>
    <w:rsid w:val="00DD75B9"/>
    <w:rsid w:val="00E71C32"/>
    <w:rsid w:val="00F20AF7"/>
    <w:rsid w:val="00F60F80"/>
    <w:rsid w:val="00FD4635"/>
    <w:rsid w:val="00FE5D31"/>
    <w:rsid w:val="010EB879"/>
    <w:rsid w:val="0119324C"/>
    <w:rsid w:val="02045484"/>
    <w:rsid w:val="03A30D64"/>
    <w:rsid w:val="0429CB3A"/>
    <w:rsid w:val="04737EED"/>
    <w:rsid w:val="04AD567E"/>
    <w:rsid w:val="04D0A09A"/>
    <w:rsid w:val="05581E64"/>
    <w:rsid w:val="05ED883E"/>
    <w:rsid w:val="065A16B6"/>
    <w:rsid w:val="0666C4F0"/>
    <w:rsid w:val="07E0C76D"/>
    <w:rsid w:val="081DF130"/>
    <w:rsid w:val="08801710"/>
    <w:rsid w:val="090F9076"/>
    <w:rsid w:val="09261F57"/>
    <w:rsid w:val="0A43A0ED"/>
    <w:rsid w:val="0A8C52C7"/>
    <w:rsid w:val="0AD58CFA"/>
    <w:rsid w:val="0B0E676C"/>
    <w:rsid w:val="0B499CB7"/>
    <w:rsid w:val="0B53A17E"/>
    <w:rsid w:val="0BF54EB8"/>
    <w:rsid w:val="0BF74EFE"/>
    <w:rsid w:val="0C221BFA"/>
    <w:rsid w:val="0D8EBBB6"/>
    <w:rsid w:val="0DD3F0FA"/>
    <w:rsid w:val="0E1CA3CB"/>
    <w:rsid w:val="0E6CDFAD"/>
    <w:rsid w:val="0F29E8D3"/>
    <w:rsid w:val="0F528063"/>
    <w:rsid w:val="0F5A3BE0"/>
    <w:rsid w:val="0F9831D1"/>
    <w:rsid w:val="0F9CA3FB"/>
    <w:rsid w:val="0FC4684D"/>
    <w:rsid w:val="1077F4F4"/>
    <w:rsid w:val="10FFECE2"/>
    <w:rsid w:val="1146311B"/>
    <w:rsid w:val="115E3886"/>
    <w:rsid w:val="11B5B541"/>
    <w:rsid w:val="12854878"/>
    <w:rsid w:val="12EE18CB"/>
    <w:rsid w:val="12F7E9E4"/>
    <w:rsid w:val="13548B70"/>
    <w:rsid w:val="13582A2C"/>
    <w:rsid w:val="13DAAD4B"/>
    <w:rsid w:val="156E6734"/>
    <w:rsid w:val="15D947D9"/>
    <w:rsid w:val="16119072"/>
    <w:rsid w:val="164B78A2"/>
    <w:rsid w:val="166B5E9C"/>
    <w:rsid w:val="16FBD69A"/>
    <w:rsid w:val="17000B18"/>
    <w:rsid w:val="176DC690"/>
    <w:rsid w:val="177F8235"/>
    <w:rsid w:val="18253B35"/>
    <w:rsid w:val="189374A8"/>
    <w:rsid w:val="18EC9F4A"/>
    <w:rsid w:val="19713190"/>
    <w:rsid w:val="1A253992"/>
    <w:rsid w:val="1B8FE2F8"/>
    <w:rsid w:val="1BB244F3"/>
    <w:rsid w:val="1C739EF8"/>
    <w:rsid w:val="1CDF4848"/>
    <w:rsid w:val="1D53E0C6"/>
    <w:rsid w:val="1D937577"/>
    <w:rsid w:val="1DF550DD"/>
    <w:rsid w:val="1E760E69"/>
    <w:rsid w:val="1E7C46C5"/>
    <w:rsid w:val="1E91B211"/>
    <w:rsid w:val="1FF21981"/>
    <w:rsid w:val="20733AE2"/>
    <w:rsid w:val="20CC46E2"/>
    <w:rsid w:val="20F03A22"/>
    <w:rsid w:val="2149CB56"/>
    <w:rsid w:val="22029691"/>
    <w:rsid w:val="229F2674"/>
    <w:rsid w:val="22BA89AA"/>
    <w:rsid w:val="24913505"/>
    <w:rsid w:val="24F81A16"/>
    <w:rsid w:val="2591D2BA"/>
    <w:rsid w:val="259A99D0"/>
    <w:rsid w:val="26C39FE8"/>
    <w:rsid w:val="26E8BA97"/>
    <w:rsid w:val="270D78AF"/>
    <w:rsid w:val="2721ECE2"/>
    <w:rsid w:val="2746597B"/>
    <w:rsid w:val="28030225"/>
    <w:rsid w:val="28631F09"/>
    <w:rsid w:val="2874FC90"/>
    <w:rsid w:val="28A4DBFE"/>
    <w:rsid w:val="28B37542"/>
    <w:rsid w:val="28BF8171"/>
    <w:rsid w:val="29EC608E"/>
    <w:rsid w:val="2A018D96"/>
    <w:rsid w:val="2AAC670D"/>
    <w:rsid w:val="2B3895B5"/>
    <w:rsid w:val="2B427B66"/>
    <w:rsid w:val="2B6996FD"/>
    <w:rsid w:val="2C8CE5B5"/>
    <w:rsid w:val="2D4297E3"/>
    <w:rsid w:val="2E6E9D95"/>
    <w:rsid w:val="2EEFA38E"/>
    <w:rsid w:val="2EF69F7F"/>
    <w:rsid w:val="2EFA4C91"/>
    <w:rsid w:val="2F70385D"/>
    <w:rsid w:val="30129242"/>
    <w:rsid w:val="3063CD27"/>
    <w:rsid w:val="30C3285B"/>
    <w:rsid w:val="31EF4207"/>
    <w:rsid w:val="329352E6"/>
    <w:rsid w:val="3293C0C4"/>
    <w:rsid w:val="33DF6DEF"/>
    <w:rsid w:val="355F20A0"/>
    <w:rsid w:val="3707886F"/>
    <w:rsid w:val="3729741C"/>
    <w:rsid w:val="377396CF"/>
    <w:rsid w:val="37ADD82F"/>
    <w:rsid w:val="37F9343C"/>
    <w:rsid w:val="38305B20"/>
    <w:rsid w:val="387A386E"/>
    <w:rsid w:val="389D9F1E"/>
    <w:rsid w:val="38ED594C"/>
    <w:rsid w:val="3932D639"/>
    <w:rsid w:val="39E42F00"/>
    <w:rsid w:val="3A8BC5A6"/>
    <w:rsid w:val="3B0CA872"/>
    <w:rsid w:val="3B26339D"/>
    <w:rsid w:val="3BAA5F09"/>
    <w:rsid w:val="3BB76551"/>
    <w:rsid w:val="3D4934C1"/>
    <w:rsid w:val="3E8931E9"/>
    <w:rsid w:val="3EA99D4F"/>
    <w:rsid w:val="3EC95D4D"/>
    <w:rsid w:val="3F0A03EB"/>
    <w:rsid w:val="3F4CDCEC"/>
    <w:rsid w:val="3FCB25AC"/>
    <w:rsid w:val="3FFE1B31"/>
    <w:rsid w:val="408B21B6"/>
    <w:rsid w:val="40A8E4B4"/>
    <w:rsid w:val="412E0E2D"/>
    <w:rsid w:val="414E176D"/>
    <w:rsid w:val="41B08B0B"/>
    <w:rsid w:val="41F858D9"/>
    <w:rsid w:val="420E7208"/>
    <w:rsid w:val="4245AF02"/>
    <w:rsid w:val="42B3FFB1"/>
    <w:rsid w:val="42C0FD9F"/>
    <w:rsid w:val="444B0EC2"/>
    <w:rsid w:val="445B91BD"/>
    <w:rsid w:val="44BD6B1A"/>
    <w:rsid w:val="465EE40E"/>
    <w:rsid w:val="4699BCDF"/>
    <w:rsid w:val="4725CE09"/>
    <w:rsid w:val="473EE17A"/>
    <w:rsid w:val="476E40F8"/>
    <w:rsid w:val="47AD773F"/>
    <w:rsid w:val="48E6BE10"/>
    <w:rsid w:val="49879870"/>
    <w:rsid w:val="4A4D1A19"/>
    <w:rsid w:val="4B2DA480"/>
    <w:rsid w:val="4B4B4DD8"/>
    <w:rsid w:val="4B61181A"/>
    <w:rsid w:val="4BA8B0B6"/>
    <w:rsid w:val="4C708A34"/>
    <w:rsid w:val="4C8BBA99"/>
    <w:rsid w:val="4CB6F2AE"/>
    <w:rsid w:val="4CE7D696"/>
    <w:rsid w:val="4DB5BC27"/>
    <w:rsid w:val="4DC06DA3"/>
    <w:rsid w:val="4DD04782"/>
    <w:rsid w:val="4E300462"/>
    <w:rsid w:val="4E7C8197"/>
    <w:rsid w:val="4E8ED849"/>
    <w:rsid w:val="4F7E8EFC"/>
    <w:rsid w:val="4F7EB608"/>
    <w:rsid w:val="5013078A"/>
    <w:rsid w:val="50CC35C3"/>
    <w:rsid w:val="51764E00"/>
    <w:rsid w:val="51889D96"/>
    <w:rsid w:val="51DA169C"/>
    <w:rsid w:val="51E6B0C4"/>
    <w:rsid w:val="533A2C98"/>
    <w:rsid w:val="53882F9F"/>
    <w:rsid w:val="53D8143C"/>
    <w:rsid w:val="5418D674"/>
    <w:rsid w:val="543BDB4C"/>
    <w:rsid w:val="5565B719"/>
    <w:rsid w:val="564F784E"/>
    <w:rsid w:val="568A369A"/>
    <w:rsid w:val="57529652"/>
    <w:rsid w:val="57F1405E"/>
    <w:rsid w:val="5800E899"/>
    <w:rsid w:val="583A8769"/>
    <w:rsid w:val="58EE08A6"/>
    <w:rsid w:val="591671CE"/>
    <w:rsid w:val="59A9D271"/>
    <w:rsid w:val="5A9BEEBC"/>
    <w:rsid w:val="5AC798CF"/>
    <w:rsid w:val="5AD85BF2"/>
    <w:rsid w:val="5C7B7E9C"/>
    <w:rsid w:val="5CDA89AC"/>
    <w:rsid w:val="5D32B287"/>
    <w:rsid w:val="5DE029D7"/>
    <w:rsid w:val="5E09D0C7"/>
    <w:rsid w:val="5F2BFD77"/>
    <w:rsid w:val="5F4F9741"/>
    <w:rsid w:val="603091EF"/>
    <w:rsid w:val="611C9A98"/>
    <w:rsid w:val="6256364A"/>
    <w:rsid w:val="628915D4"/>
    <w:rsid w:val="62AD5AE3"/>
    <w:rsid w:val="62CDA1DF"/>
    <w:rsid w:val="6469FE87"/>
    <w:rsid w:val="6479D37F"/>
    <w:rsid w:val="64CD1CF4"/>
    <w:rsid w:val="64FC4CF7"/>
    <w:rsid w:val="65E41B9F"/>
    <w:rsid w:val="66B634B4"/>
    <w:rsid w:val="6739CA57"/>
    <w:rsid w:val="681DA085"/>
    <w:rsid w:val="686209CC"/>
    <w:rsid w:val="68C81CEC"/>
    <w:rsid w:val="68DF159B"/>
    <w:rsid w:val="69D572C7"/>
    <w:rsid w:val="69EC3B24"/>
    <w:rsid w:val="6BA2E3B2"/>
    <w:rsid w:val="6C7D31C4"/>
    <w:rsid w:val="6D017EDF"/>
    <w:rsid w:val="6D178EDA"/>
    <w:rsid w:val="6D8CA6A7"/>
    <w:rsid w:val="6E395509"/>
    <w:rsid w:val="6E8A1453"/>
    <w:rsid w:val="6F267EC0"/>
    <w:rsid w:val="6F3F37CD"/>
    <w:rsid w:val="6F497C3D"/>
    <w:rsid w:val="6F65936A"/>
    <w:rsid w:val="6F7264EB"/>
    <w:rsid w:val="6F796664"/>
    <w:rsid w:val="70835836"/>
    <w:rsid w:val="7170829C"/>
    <w:rsid w:val="73441872"/>
    <w:rsid w:val="73C65DDE"/>
    <w:rsid w:val="73D95969"/>
    <w:rsid w:val="7434FF27"/>
    <w:rsid w:val="74EDDC07"/>
    <w:rsid w:val="75745E29"/>
    <w:rsid w:val="7579139B"/>
    <w:rsid w:val="76263C85"/>
    <w:rsid w:val="76339F05"/>
    <w:rsid w:val="763C7D80"/>
    <w:rsid w:val="765B9666"/>
    <w:rsid w:val="768D3368"/>
    <w:rsid w:val="76A03980"/>
    <w:rsid w:val="76B9B149"/>
    <w:rsid w:val="76E379F6"/>
    <w:rsid w:val="77129051"/>
    <w:rsid w:val="77641531"/>
    <w:rsid w:val="77BE88C8"/>
    <w:rsid w:val="783E2C56"/>
    <w:rsid w:val="788A2A15"/>
    <w:rsid w:val="7895E6F6"/>
    <w:rsid w:val="78C3D814"/>
    <w:rsid w:val="78C7FF96"/>
    <w:rsid w:val="792118CA"/>
    <w:rsid w:val="794A136B"/>
    <w:rsid w:val="7A2A5C05"/>
    <w:rsid w:val="7BD252B5"/>
    <w:rsid w:val="7BD46436"/>
    <w:rsid w:val="7C2838EF"/>
    <w:rsid w:val="7C30B7B6"/>
    <w:rsid w:val="7C9012E2"/>
    <w:rsid w:val="7D31CE43"/>
    <w:rsid w:val="7D8A727F"/>
    <w:rsid w:val="7DCAD33D"/>
    <w:rsid w:val="7DCE4AAD"/>
    <w:rsid w:val="7E923D79"/>
    <w:rsid w:val="7FE5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40869"/>
  <w15:docId w15:val="{3183B80B-8951-5349-BF84-7E2879C3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Palanquin" w:hAnsi="Palanquin" w:eastAsia="Palanquin" w:cs="Palanqu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20AF7"/>
    <w:pPr>
      <w:tabs>
        <w:tab w:val="center" w:pos="4680"/>
        <w:tab w:val="right" w:pos="9360"/>
      </w:tabs>
    </w:pPr>
  </w:style>
  <w:style w:type="character" w:styleId="HeaderChar" w:customStyle="1">
    <w:name w:val="Header Char"/>
    <w:basedOn w:val="DefaultParagraphFont"/>
    <w:link w:val="Header"/>
    <w:uiPriority w:val="99"/>
    <w:rsid w:val="00F20AF7"/>
    <w:rPr>
      <w:rFonts w:ascii="Palanquin" w:hAnsi="Palanquin" w:eastAsia="Palanquin" w:cs="Palanquin"/>
    </w:rPr>
  </w:style>
  <w:style w:type="paragraph" w:styleId="Footer">
    <w:name w:val="footer"/>
    <w:basedOn w:val="Normal"/>
    <w:link w:val="FooterChar"/>
    <w:uiPriority w:val="99"/>
    <w:unhideWhenUsed/>
    <w:rsid w:val="00F20AF7"/>
    <w:pPr>
      <w:tabs>
        <w:tab w:val="center" w:pos="4680"/>
        <w:tab w:val="right" w:pos="9360"/>
      </w:tabs>
    </w:pPr>
  </w:style>
  <w:style w:type="character" w:styleId="FooterChar" w:customStyle="1">
    <w:name w:val="Footer Char"/>
    <w:basedOn w:val="DefaultParagraphFont"/>
    <w:link w:val="Footer"/>
    <w:uiPriority w:val="99"/>
    <w:rsid w:val="00F20AF7"/>
    <w:rPr>
      <w:rFonts w:ascii="Palanquin" w:hAnsi="Palanquin" w:eastAsia="Palanquin" w:cs="Palanquin"/>
    </w:rPr>
  </w:style>
  <w:style w:type="character" w:styleId="CommentReference">
    <w:name w:val="annotation reference"/>
    <w:basedOn w:val="DefaultParagraphFont"/>
    <w:uiPriority w:val="99"/>
    <w:semiHidden/>
    <w:unhideWhenUsed/>
    <w:rsid w:val="00F60F80"/>
    <w:rPr>
      <w:sz w:val="16"/>
      <w:szCs w:val="16"/>
    </w:rPr>
  </w:style>
  <w:style w:type="paragraph" w:styleId="CommentText">
    <w:name w:val="annotation text"/>
    <w:basedOn w:val="Normal"/>
    <w:link w:val="CommentTextChar"/>
    <w:uiPriority w:val="99"/>
    <w:unhideWhenUsed/>
    <w:rsid w:val="00F60F80"/>
    <w:rPr>
      <w:sz w:val="20"/>
      <w:szCs w:val="20"/>
    </w:rPr>
  </w:style>
  <w:style w:type="character" w:styleId="CommentTextChar" w:customStyle="1">
    <w:name w:val="Comment Text Char"/>
    <w:basedOn w:val="DefaultParagraphFont"/>
    <w:link w:val="CommentText"/>
    <w:uiPriority w:val="99"/>
    <w:rsid w:val="00F60F80"/>
    <w:rPr>
      <w:rFonts w:ascii="Palanquin" w:hAnsi="Palanquin" w:eastAsia="Palanquin" w:cs="Palanquin"/>
      <w:sz w:val="20"/>
      <w:szCs w:val="20"/>
    </w:rPr>
  </w:style>
  <w:style w:type="paragraph" w:styleId="CommentSubject">
    <w:name w:val="annotation subject"/>
    <w:basedOn w:val="CommentText"/>
    <w:next w:val="CommentText"/>
    <w:link w:val="CommentSubjectChar"/>
    <w:uiPriority w:val="99"/>
    <w:semiHidden/>
    <w:unhideWhenUsed/>
    <w:rsid w:val="00F60F80"/>
    <w:rPr>
      <w:b/>
      <w:bCs/>
    </w:rPr>
  </w:style>
  <w:style w:type="character" w:styleId="CommentSubjectChar" w:customStyle="1">
    <w:name w:val="Comment Subject Char"/>
    <w:basedOn w:val="CommentTextChar"/>
    <w:link w:val="CommentSubject"/>
    <w:uiPriority w:val="99"/>
    <w:semiHidden/>
    <w:rsid w:val="00F60F80"/>
    <w:rPr>
      <w:rFonts w:ascii="Palanquin" w:hAnsi="Palanquin" w:eastAsia="Palanquin" w:cs="Palanquin"/>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microsoft.com/office/2016/09/relationships/commentsIds" Target="commentsIds.xml" Id="rId8" /><Relationship Type="http://schemas.microsoft.com/office/2011/relationships/people" Target="people.xml" Id="rId13" /><Relationship Type="http://schemas.openxmlformats.org/officeDocument/2006/relationships/webSettings" Target="webSettings.xml" Id="rId3" /><Relationship Type="http://schemas.microsoft.com/office/2011/relationships/commentsExtended" Target="commentsExtended.xml" Id="rId7" /><Relationship Type="http://schemas.openxmlformats.org/officeDocument/2006/relationships/fontTable" Target="fontTable.xml" Id="rId12"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footer" Target="footer1.xml" Id="rId11" /><Relationship Type="http://schemas.openxmlformats.org/officeDocument/2006/relationships/endnotes" Target="endnotes.xml" Id="rId5" /><Relationship Type="http://schemas.openxmlformats.org/officeDocument/2006/relationships/customXml" Target="../customXml/item1.xml" Id="rId15" /><Relationship Type="http://schemas.openxmlformats.org/officeDocument/2006/relationships/header" Target="header1.xml" Id="rId10" /><Relationship Type="http://schemas.openxmlformats.org/officeDocument/2006/relationships/footnotes" Target="footnotes.xml" Id="rId4" /><Relationship Type="http://schemas.openxmlformats.org/officeDocument/2006/relationships/theme" Target="theme/theme1.xml" Id="rId14" /><Relationship Type="http://schemas.microsoft.com/office/2020/10/relationships/intelligence" Target="intelligence2.xml" Id="R768554dd74104fff" /><Relationship Type="http://schemas.openxmlformats.org/officeDocument/2006/relationships/numbering" Target="numbering.xml" Id="R4861d3bfdc6a4094" /></Relationships>
</file>

<file path=word/_rels/header1.xml.rels>&#65279;<?xml version="1.0" encoding="utf-8"?><Relationships xmlns="http://schemas.openxmlformats.org/package/2006/relationships"><Relationship Type="http://schemas.openxmlformats.org/officeDocument/2006/relationships/image" Target="/media/image2.png" Id="R238589ebea6e42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E4F24A703A748AC121094845306E2" ma:contentTypeVersion="19" ma:contentTypeDescription="Create a new document." ma:contentTypeScope="" ma:versionID="1382f00573a023694fd7c67ca91eb13d">
  <xsd:schema xmlns:xsd="http://www.w3.org/2001/XMLSchema" xmlns:xs="http://www.w3.org/2001/XMLSchema" xmlns:p="http://schemas.microsoft.com/office/2006/metadata/properties" xmlns:ns2="19e0d1ab-bafa-4e75-a0e2-b64c45c4e42a" xmlns:ns3="a27c4eae-b3f8-4093-a353-03bf20f03d92" targetNamespace="http://schemas.microsoft.com/office/2006/metadata/properties" ma:root="true" ma:fieldsID="e3dd01bb2edc3e3631f1f07822e4cc2a" ns2:_="" ns3:_="">
    <xsd:import namespace="19e0d1ab-bafa-4e75-a0e2-b64c45c4e42a"/>
    <xsd:import namespace="a27c4eae-b3f8-4093-a353-03bf20f03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0d1ab-bafa-4e75-a0e2-b64c45c4e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99f3919-72f8-447a-9b12-8b83ba8632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7c4eae-b3f8-4093-a353-03bf20f03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694cfa-2647-4124-90af-6ef830955db9}" ma:internalName="TaxCatchAll" ma:showField="CatchAllData" ma:web="a27c4eae-b3f8-4093-a353-03bf20f03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7c4eae-b3f8-4093-a353-03bf20f03d92" xsi:nil="true"/>
    <lcf76f155ced4ddcb4097134ff3c332f xmlns="19e0d1ab-bafa-4e75-a0e2-b64c45c4e42a">
      <Terms xmlns="http://schemas.microsoft.com/office/infopath/2007/PartnerControls"/>
    </lcf76f155ced4ddcb4097134ff3c332f>
    <SharedWithUsers xmlns="a27c4eae-b3f8-4093-a353-03bf20f03d92">
      <UserInfo>
        <DisplayName/>
        <AccountId xsi:nil="true"/>
        <AccountType/>
      </UserInfo>
    </SharedWithUsers>
  </documentManagement>
</p:properties>
</file>

<file path=customXml/itemProps1.xml><?xml version="1.0" encoding="utf-8"?>
<ds:datastoreItem xmlns:ds="http://schemas.openxmlformats.org/officeDocument/2006/customXml" ds:itemID="{CD74F3B1-7EB8-4F64-9599-DB42A5982A04}"/>
</file>

<file path=customXml/itemProps2.xml><?xml version="1.0" encoding="utf-8"?>
<ds:datastoreItem xmlns:ds="http://schemas.openxmlformats.org/officeDocument/2006/customXml" ds:itemID="{9ADF10B9-A5F1-420B-9BAE-ABACB952FF51}"/>
</file>

<file path=customXml/itemProps3.xml><?xml version="1.0" encoding="utf-8"?>
<ds:datastoreItem xmlns:ds="http://schemas.openxmlformats.org/officeDocument/2006/customXml" ds:itemID="{8518D65D-C851-4A66-8A10-AFB43C4E06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Adele McLees</dc:creator>
  <lastModifiedBy>Anica Aguilar</lastModifiedBy>
  <revision>18</revision>
  <dcterms:created xsi:type="dcterms:W3CDTF">2024-12-16T21:16:00.0000000Z</dcterms:created>
  <dcterms:modified xsi:type="dcterms:W3CDTF">2025-09-04T13:54:34.7890446Z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2024-05-10T00:00:00Z</vt:filetime>
  </property>
  <property fmtid="{D5CDD505-2E9C-101B-9397-08002B2CF9AE}" pid="3" name="Creator">
    <vt:lpwstr>Adobe InDesign 19.2 (Macintosh)</vt:lpwstr>
  </property>
  <property fmtid="{D5CDD505-2E9C-101B-9397-08002B2CF9AE}" pid="4" name="LastSaved">
    <vt:filetime>2024-06-10T00:00:00Z</vt:filetime>
  </property>
  <property fmtid="{D5CDD505-2E9C-101B-9397-08002B2CF9AE}" pid="5" name="Producer">
    <vt:lpwstr>Adobe PDF Library 17.0</vt:lpwstr>
  </property>
  <property fmtid="{D5CDD505-2E9C-101B-9397-08002B2CF9AE}" pid="6" name="ContentTypeId">
    <vt:lpwstr>0x01010037DE4F24A703A748AC121094845306E2</vt:lpwstr>
  </property>
  <property fmtid="{D5CDD505-2E9C-101B-9397-08002B2CF9AE}" pid="7" name="MediaServiceImageTags">
    <vt:lpwstr/>
  </property>
  <property fmtid="{D5CDD505-2E9C-101B-9397-08002B2CF9AE}" pid="8" name="Order">
    <vt:r8>1035800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